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069E8F43" w14:textId="77777777" w:rsidR="00F111A8" w:rsidRDefault="00F111A8">
      <w:pPr>
        <w:pStyle w:val="Tekstpodstawowy"/>
        <w:rPr>
          <w:sz w:val="44"/>
        </w:rPr>
      </w:pPr>
    </w:p>
    <w:p w14:paraId="0BEABF35" w14:textId="77777777" w:rsidR="00F111A8" w:rsidRDefault="00F111A8">
      <w:pPr>
        <w:pStyle w:val="Tekstpodstawowy"/>
        <w:rPr>
          <w:sz w:val="44"/>
        </w:rPr>
      </w:pPr>
    </w:p>
    <w:p w14:paraId="47B5FAC4" w14:textId="77777777" w:rsidR="00F111A8" w:rsidRDefault="00F111A8">
      <w:pPr>
        <w:pStyle w:val="Tekstpodstawowy"/>
        <w:rPr>
          <w:sz w:val="44"/>
        </w:rPr>
      </w:pPr>
    </w:p>
    <w:p w14:paraId="2B6218FB" w14:textId="77777777" w:rsidR="00F111A8" w:rsidRDefault="00F111A8">
      <w:pPr>
        <w:pStyle w:val="Tekstpodstawowy"/>
        <w:rPr>
          <w:sz w:val="44"/>
        </w:rPr>
      </w:pPr>
    </w:p>
    <w:p w14:paraId="6D651E9C" w14:textId="77777777" w:rsidR="00F111A8" w:rsidRDefault="00F111A8">
      <w:pPr>
        <w:pStyle w:val="Tekstpodstawowy"/>
        <w:rPr>
          <w:sz w:val="44"/>
        </w:rPr>
      </w:pPr>
    </w:p>
    <w:p w14:paraId="5B54472C" w14:textId="77777777" w:rsidR="00F111A8" w:rsidRDefault="00F111A8">
      <w:pPr>
        <w:pStyle w:val="Tekstpodstawowy"/>
        <w:rPr>
          <w:sz w:val="44"/>
        </w:rPr>
      </w:pPr>
    </w:p>
    <w:p w14:paraId="4B3B509B" w14:textId="77777777" w:rsidR="00F111A8" w:rsidRDefault="00F111A8">
      <w:pPr>
        <w:pStyle w:val="Tekstpodstawowy"/>
        <w:rPr>
          <w:sz w:val="44"/>
        </w:rPr>
      </w:pPr>
    </w:p>
    <w:p w14:paraId="3D901A2F" w14:textId="77777777" w:rsidR="00F111A8" w:rsidRDefault="00F111A8">
      <w:pPr>
        <w:pStyle w:val="Tekstpodstawowy"/>
        <w:rPr>
          <w:sz w:val="44"/>
        </w:rPr>
      </w:pPr>
    </w:p>
    <w:p w14:paraId="5C4948AD" w14:textId="77777777" w:rsidR="00F111A8" w:rsidRDefault="00F111A8">
      <w:pPr>
        <w:pStyle w:val="Tekstpodstawowy"/>
        <w:rPr>
          <w:sz w:val="44"/>
        </w:rPr>
      </w:pPr>
    </w:p>
    <w:p w14:paraId="0275F941" w14:textId="77777777" w:rsidR="00F111A8" w:rsidRDefault="00F111A8">
      <w:pPr>
        <w:pStyle w:val="Tekstpodstawowy"/>
        <w:rPr>
          <w:sz w:val="44"/>
        </w:rPr>
      </w:pPr>
    </w:p>
    <w:p w14:paraId="02E7F561" w14:textId="77777777" w:rsidR="00F111A8" w:rsidRDefault="00F111A8">
      <w:pPr>
        <w:pStyle w:val="Tekstpodstawowy"/>
        <w:rPr>
          <w:sz w:val="44"/>
        </w:rPr>
      </w:pPr>
    </w:p>
    <w:p w14:paraId="17BD37A6" w14:textId="77777777" w:rsidR="00F111A8" w:rsidRDefault="00F111A8">
      <w:pPr>
        <w:pStyle w:val="Tekstpodstawowy"/>
        <w:rPr>
          <w:sz w:val="44"/>
        </w:rPr>
      </w:pPr>
    </w:p>
    <w:p w14:paraId="510CA8A0" w14:textId="77777777" w:rsidR="00F111A8" w:rsidRDefault="00F111A8">
      <w:pPr>
        <w:pStyle w:val="Tekstpodstawowy"/>
        <w:rPr>
          <w:sz w:val="44"/>
        </w:rPr>
      </w:pPr>
    </w:p>
    <w:p w14:paraId="6DADE5B9" w14:textId="77777777" w:rsidR="00F111A8" w:rsidRDefault="00F111A8">
      <w:pPr>
        <w:pStyle w:val="Tekstpodstawowy"/>
        <w:rPr>
          <w:sz w:val="44"/>
        </w:rPr>
      </w:pPr>
    </w:p>
    <w:p w14:paraId="4352CB8A" w14:textId="77777777" w:rsidR="00F111A8" w:rsidRDefault="00F111A8">
      <w:pPr>
        <w:pStyle w:val="Tekstpodstawowy"/>
        <w:spacing w:before="6"/>
        <w:rPr>
          <w:sz w:val="43"/>
        </w:rPr>
      </w:pPr>
    </w:p>
    <w:p w14:paraId="5A57452C" w14:textId="77777777" w:rsidR="00F111A8" w:rsidRDefault="00E33EA4">
      <w:pPr>
        <w:ind w:left="100"/>
        <w:rPr>
          <w:b/>
          <w:sz w:val="40"/>
        </w:rPr>
      </w:pPr>
      <w:r>
        <w:rPr>
          <w:b/>
          <w:color w:val="FF0000"/>
          <w:spacing w:val="-9"/>
          <w:sz w:val="40"/>
        </w:rPr>
        <w:t>UWAGA</w:t>
      </w:r>
      <w:r>
        <w:rPr>
          <w:b/>
          <w:color w:val="FF0000"/>
          <w:spacing w:val="-20"/>
          <w:sz w:val="40"/>
        </w:rPr>
        <w:t xml:space="preserve"> </w:t>
      </w:r>
      <w:r>
        <w:rPr>
          <w:b/>
          <w:color w:val="FF0000"/>
          <w:sz w:val="40"/>
        </w:rPr>
        <w:t>!!!</w:t>
      </w:r>
    </w:p>
    <w:p w14:paraId="6105933B" w14:textId="77777777" w:rsidR="00F111A8" w:rsidRPr="002C1DE6" w:rsidRDefault="00E33EA4" w:rsidP="00C324F4">
      <w:pPr>
        <w:spacing w:before="48"/>
        <w:ind w:left="63"/>
        <w:jc w:val="right"/>
        <w:rPr>
          <w:rFonts w:ascii="Albertus Extra Bold" w:hAnsi="Albertus Extra Bold"/>
          <w:b/>
          <w:sz w:val="88"/>
        </w:rPr>
      </w:pPr>
      <w:r>
        <w:br w:type="column"/>
      </w:r>
      <w:r w:rsidR="002C1DE6" w:rsidRPr="002C1DE6">
        <w:rPr>
          <w:rFonts w:ascii="Albertus Extra Bold" w:hAnsi="Albertus Extra Bold"/>
          <w:sz w:val="88"/>
        </w:rPr>
        <w:t>Wymień źródło ciepła</w:t>
      </w:r>
      <w:r w:rsidR="00C324F4">
        <w:rPr>
          <w:rFonts w:ascii="Albertus Extra Bold" w:hAnsi="Albertus Extra Bold"/>
          <w:sz w:val="88"/>
        </w:rPr>
        <w:t xml:space="preserve">  </w:t>
      </w:r>
      <w:r w:rsidR="00C324F4" w:rsidRPr="002C1DE6">
        <w:rPr>
          <w:noProof/>
          <w:sz w:val="24"/>
          <w:lang w:bidi="ar-SA"/>
        </w:rPr>
        <w:drawing>
          <wp:inline distT="0" distB="0" distL="0" distR="0" wp14:anchorId="161FB904" wp14:editId="5A099F00">
            <wp:extent cx="2197290" cy="736979"/>
            <wp:effectExtent l="0" t="0" r="0" b="0"/>
            <wp:docPr id="2" name="Obraz 2" descr="Znalezione obrazy dla zapytania wymieÅ 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mieÅ pi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38" cy="7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2E01" w14:textId="77777777" w:rsidR="00F111A8" w:rsidRDefault="00E33EA4">
      <w:pPr>
        <w:pStyle w:val="Nagwek11"/>
        <w:spacing w:before="174"/>
      </w:pPr>
      <w:r>
        <w:rPr>
          <w:color w:val="FF0000"/>
        </w:rPr>
        <w:t>KROK 1</w:t>
      </w:r>
    </w:p>
    <w:p w14:paraId="2567A199" w14:textId="77777777" w:rsidR="00F111A8" w:rsidRDefault="00E33EA4">
      <w:pPr>
        <w:pStyle w:val="Tekstpodstawowy"/>
        <w:spacing w:before="156"/>
        <w:ind w:left="1066"/>
      </w:pPr>
      <w:r>
        <w:rPr>
          <w:color w:val="0D0D0D"/>
        </w:rPr>
        <w:t>Dofinansowanie można otrzymać na inwestycje związane z wymianą/likwidacją lokalnych źródeł ciepła zasilanych paliwami stałymi lub biomasą</w:t>
      </w:r>
      <w:r>
        <w:rPr>
          <w:color w:val="0D0D0D"/>
          <w:spacing w:val="51"/>
        </w:rPr>
        <w:t xml:space="preserve"> </w:t>
      </w:r>
      <w:r>
        <w:rPr>
          <w:color w:val="0D0D0D"/>
        </w:rPr>
        <w:t>na:</w:t>
      </w:r>
    </w:p>
    <w:p w14:paraId="13AF3E21" w14:textId="77777777" w:rsidR="00F111A8" w:rsidRDefault="00E33EA4">
      <w:pPr>
        <w:pStyle w:val="Akapitzlist"/>
        <w:numPr>
          <w:ilvl w:val="0"/>
          <w:numId w:val="2"/>
        </w:numPr>
        <w:tabs>
          <w:tab w:val="left" w:pos="1552"/>
        </w:tabs>
        <w:spacing w:before="191" w:line="199" w:lineRule="auto"/>
        <w:ind w:right="567" w:hanging="2448"/>
        <w:jc w:val="left"/>
        <w:rPr>
          <w:sz w:val="24"/>
        </w:rPr>
      </w:pPr>
      <w:r>
        <w:rPr>
          <w:color w:val="0D0D0D"/>
          <w:sz w:val="24"/>
        </w:rPr>
        <w:t xml:space="preserve">nowoczesne źródło ciepła: kotły gazowe, kotły na lekki olej </w:t>
      </w:r>
      <w:r>
        <w:rPr>
          <w:color w:val="0D0D0D"/>
          <w:spacing w:val="-3"/>
          <w:sz w:val="24"/>
        </w:rPr>
        <w:t xml:space="preserve">opałowy, </w:t>
      </w:r>
      <w:r>
        <w:rPr>
          <w:color w:val="0D0D0D"/>
          <w:sz w:val="24"/>
        </w:rPr>
        <w:t>piece zasilane prądem elektrycznym, kotły na paliwa stałe lub biomasę charakteryzujące się parametrami co najmniej jak dla kotłów 5 klasy (wg PN-EN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303-5:2012),</w:t>
      </w:r>
    </w:p>
    <w:p w14:paraId="44EF3FC5" w14:textId="77777777" w:rsidR="00F111A8" w:rsidRDefault="00E33EA4">
      <w:pPr>
        <w:pStyle w:val="Akapitzlist"/>
        <w:numPr>
          <w:ilvl w:val="0"/>
          <w:numId w:val="2"/>
        </w:numPr>
        <w:tabs>
          <w:tab w:val="left" w:pos="5489"/>
        </w:tabs>
        <w:spacing w:before="164"/>
        <w:ind w:left="5488"/>
        <w:jc w:val="left"/>
        <w:rPr>
          <w:sz w:val="24"/>
        </w:rPr>
      </w:pPr>
      <w:r>
        <w:rPr>
          <w:color w:val="0D0D0D"/>
          <w:sz w:val="24"/>
        </w:rPr>
        <w:t>podłączenie budynków do lokalnej/miejskiej sieci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ciepłowniczej,</w:t>
      </w:r>
    </w:p>
    <w:p w14:paraId="296E42DB" w14:textId="77777777" w:rsidR="00F111A8" w:rsidRDefault="00E33EA4">
      <w:pPr>
        <w:pStyle w:val="Akapitzlist"/>
        <w:numPr>
          <w:ilvl w:val="0"/>
          <w:numId w:val="2"/>
        </w:numPr>
        <w:tabs>
          <w:tab w:val="left" w:pos="1084"/>
        </w:tabs>
        <w:spacing w:before="195" w:line="199" w:lineRule="auto"/>
        <w:ind w:left="1244" w:right="100" w:hanging="461"/>
        <w:jc w:val="left"/>
        <w:rPr>
          <w:sz w:val="24"/>
        </w:rPr>
      </w:pPr>
      <w:r>
        <w:rPr>
          <w:color w:val="0D0D0D"/>
          <w:sz w:val="24"/>
        </w:rPr>
        <w:t xml:space="preserve">zastosowanie odnawialnych źródeł energii (OZE): kolektory słoneczne, pompy ciepła, panele fotowoltaiczne, przydomowe elektrownie wiatrowe (Instalacje fotowoltaiczne, wiatrowe lub mieszane (PV-wiatrowe) mogą </w:t>
      </w:r>
      <w:r>
        <w:rPr>
          <w:color w:val="0D0D0D"/>
          <w:spacing w:val="-3"/>
          <w:sz w:val="24"/>
        </w:rPr>
        <w:t xml:space="preserve">być </w:t>
      </w:r>
      <w:r>
        <w:rPr>
          <w:color w:val="0D0D0D"/>
          <w:sz w:val="24"/>
        </w:rPr>
        <w:t>finansowane w przypadku wykorzystania ich do zasilania nowego źródła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ciepła.</w:t>
      </w:r>
    </w:p>
    <w:p w14:paraId="0607A0AE" w14:textId="77777777" w:rsidR="00F111A8" w:rsidRDefault="00E33EA4">
      <w:pPr>
        <w:pStyle w:val="Nagwek11"/>
        <w:spacing w:before="164"/>
      </w:pPr>
      <w:r>
        <w:rPr>
          <w:color w:val="FF0000"/>
        </w:rPr>
        <w:t>KROK 2</w:t>
      </w:r>
    </w:p>
    <w:p w14:paraId="6DABF3DF" w14:textId="6C8E2851" w:rsidR="00F111A8" w:rsidRDefault="00E33EA4">
      <w:pPr>
        <w:pStyle w:val="Tekstpodstawowy"/>
        <w:spacing w:before="167" w:line="225" w:lineRule="auto"/>
        <w:ind w:left="1503" w:right="1124" w:firstLine="667"/>
      </w:pPr>
      <w:r>
        <w:rPr>
          <w:color w:val="0D0D0D"/>
        </w:rPr>
        <w:t xml:space="preserve">Osoba zainteresowana musi zapoznać się z zasadami przyznania dotacji upublicznionymi na stronie </w:t>
      </w:r>
      <w:r>
        <w:rPr>
          <w:color w:val="0D0D0D"/>
          <w:u w:val="single" w:color="0D0D0D"/>
        </w:rPr>
        <w:t>milicz.pl</w:t>
      </w:r>
      <w:r>
        <w:rPr>
          <w:color w:val="0D0D0D"/>
        </w:rPr>
        <w:t xml:space="preserve"> lub </w:t>
      </w:r>
      <w:r>
        <w:rPr>
          <w:color w:val="0D0D0D"/>
          <w:u w:val="single" w:color="0D0D0D"/>
        </w:rPr>
        <w:t>bip.milicz.pl</w:t>
      </w:r>
      <w:r>
        <w:rPr>
          <w:color w:val="0D0D0D"/>
        </w:rPr>
        <w:t xml:space="preserve"> zakładka - ochrona środowiska - dotacje środowiskowe. Informację udzielane są telefonicznie pod numerem </w:t>
      </w:r>
      <w:r w:rsidR="00862050">
        <w:rPr>
          <w:b/>
          <w:color w:val="0D0D0D"/>
        </w:rPr>
        <w:t>71 38 04</w:t>
      </w:r>
      <w:r w:rsidR="00962C38">
        <w:rPr>
          <w:b/>
          <w:color w:val="0D0D0D"/>
        </w:rPr>
        <w:t xml:space="preserve"> 357</w:t>
      </w:r>
      <w:r>
        <w:rPr>
          <w:color w:val="0D0D0D"/>
        </w:rPr>
        <w:t>.</w:t>
      </w:r>
    </w:p>
    <w:p w14:paraId="78B7A8D8" w14:textId="77777777" w:rsidR="00F111A8" w:rsidRDefault="00E33EA4">
      <w:pPr>
        <w:pStyle w:val="Nagwek11"/>
      </w:pPr>
      <w:r>
        <w:rPr>
          <w:color w:val="FF0000"/>
        </w:rPr>
        <w:t>KROK 3</w:t>
      </w:r>
    </w:p>
    <w:p w14:paraId="38D569F8" w14:textId="24ADA7E2" w:rsidR="00F111A8" w:rsidRDefault="00E33EA4">
      <w:pPr>
        <w:pStyle w:val="Tekstpodstawowy"/>
        <w:spacing w:before="192" w:line="199" w:lineRule="auto"/>
        <w:ind w:left="2182" w:right="1931"/>
        <w:jc w:val="center"/>
      </w:pPr>
      <w:r>
        <w:rPr>
          <w:color w:val="0D0D0D"/>
        </w:rPr>
        <w:t>Chcąc uzyskać dotacje należy pobrać formularz wniosku wraz z załącznikami ze strony internetowe lub w Urzędzie Miejskim w Miliczu ul. Trzebnicka 2 pok. nr 15</w:t>
      </w:r>
      <w:r w:rsidR="00962C38">
        <w:rPr>
          <w:color w:val="0D0D0D"/>
        </w:rPr>
        <w:t>.</w:t>
      </w:r>
    </w:p>
    <w:p w14:paraId="6E4F208A" w14:textId="77777777" w:rsidR="00F111A8" w:rsidRDefault="00E33EA4">
      <w:pPr>
        <w:pStyle w:val="Nagwek11"/>
        <w:spacing w:before="166"/>
      </w:pPr>
      <w:r>
        <w:rPr>
          <w:color w:val="FF0000"/>
        </w:rPr>
        <w:t>KROK 4</w:t>
      </w:r>
    </w:p>
    <w:p w14:paraId="6CA038FA" w14:textId="0068B05B" w:rsidR="00F111A8" w:rsidRDefault="00E33EA4">
      <w:pPr>
        <w:spacing w:before="192" w:line="199" w:lineRule="auto"/>
        <w:ind w:left="657" w:right="398"/>
        <w:jc w:val="center"/>
        <w:rPr>
          <w:b/>
          <w:sz w:val="24"/>
        </w:rPr>
      </w:pPr>
      <w:r>
        <w:rPr>
          <w:color w:val="0D0D0D"/>
          <w:sz w:val="24"/>
        </w:rPr>
        <w:t xml:space="preserve">Prawidłowo wypełniony wniosek o dofinansowanie wraz z niezbędnymi załącznikami należy złożyć w biurze podawczym (pokoju nr 15, na parterze) Urzędu Miejskiego w Miliczu ulica Trzebnicka 2, 56-300 Milicz w terminie </w:t>
      </w:r>
      <w:r w:rsidR="00D85F3A">
        <w:rPr>
          <w:b/>
          <w:color w:val="FF0000"/>
          <w:sz w:val="24"/>
        </w:rPr>
        <w:t xml:space="preserve">od dnia </w:t>
      </w:r>
      <w:r w:rsidR="00913904">
        <w:rPr>
          <w:b/>
          <w:color w:val="FF0000"/>
          <w:sz w:val="24"/>
        </w:rPr>
        <w:t>11</w:t>
      </w:r>
      <w:r w:rsidR="00D85F3A">
        <w:rPr>
          <w:b/>
          <w:color w:val="FF0000"/>
          <w:sz w:val="24"/>
        </w:rPr>
        <w:t xml:space="preserve"> </w:t>
      </w:r>
      <w:r w:rsidR="00962C38">
        <w:rPr>
          <w:b/>
          <w:color w:val="FF0000"/>
          <w:sz w:val="24"/>
        </w:rPr>
        <w:t>kwietnia</w:t>
      </w:r>
      <w:r w:rsidR="00E574BB">
        <w:rPr>
          <w:b/>
          <w:color w:val="FF0000"/>
          <w:sz w:val="24"/>
        </w:rPr>
        <w:t xml:space="preserve"> 20</w:t>
      </w:r>
      <w:r w:rsidR="00962C38">
        <w:rPr>
          <w:b/>
          <w:color w:val="FF0000"/>
          <w:sz w:val="24"/>
        </w:rPr>
        <w:t>22</w:t>
      </w:r>
      <w:r w:rsidR="00E574BB">
        <w:rPr>
          <w:b/>
          <w:color w:val="FF0000"/>
          <w:sz w:val="24"/>
        </w:rPr>
        <w:t xml:space="preserve"> r. do dnia </w:t>
      </w:r>
      <w:r w:rsidR="00913904">
        <w:rPr>
          <w:b/>
          <w:color w:val="FF0000"/>
          <w:sz w:val="24"/>
        </w:rPr>
        <w:t>22</w:t>
      </w:r>
      <w:r w:rsidR="00E574BB">
        <w:rPr>
          <w:b/>
          <w:color w:val="FF0000"/>
          <w:sz w:val="24"/>
        </w:rPr>
        <w:t xml:space="preserve"> </w:t>
      </w:r>
      <w:r w:rsidR="00962C38">
        <w:rPr>
          <w:b/>
          <w:color w:val="FF0000"/>
          <w:sz w:val="24"/>
        </w:rPr>
        <w:t>kwietnia</w:t>
      </w:r>
      <w:r w:rsidR="00E574BB">
        <w:rPr>
          <w:b/>
          <w:color w:val="FF0000"/>
          <w:sz w:val="24"/>
        </w:rPr>
        <w:t xml:space="preserve"> 20</w:t>
      </w:r>
      <w:r w:rsidR="00962C38">
        <w:rPr>
          <w:b/>
          <w:color w:val="FF0000"/>
          <w:sz w:val="24"/>
        </w:rPr>
        <w:t>22</w:t>
      </w:r>
      <w:r>
        <w:rPr>
          <w:b/>
          <w:color w:val="FF0000"/>
          <w:sz w:val="24"/>
        </w:rPr>
        <w:t xml:space="preserve"> r. do godziny 15.30.</w:t>
      </w:r>
    </w:p>
    <w:p w14:paraId="59B6CFEC" w14:textId="77777777" w:rsidR="00F111A8" w:rsidRDefault="00E33EA4">
      <w:pPr>
        <w:pStyle w:val="Tekstpodstawowy"/>
        <w:spacing w:line="241" w:lineRule="exact"/>
        <w:ind w:left="2181" w:right="1931"/>
        <w:jc w:val="center"/>
      </w:pPr>
      <w:r>
        <w:rPr>
          <w:color w:val="0D0D0D"/>
        </w:rPr>
        <w:t>Wnioski, które wpłyną do siedziby urzędu przed lub po wyznaczonym terminie składania wniosków nie będą rozpatrywane.</w:t>
      </w:r>
    </w:p>
    <w:p w14:paraId="55536960" w14:textId="77777777" w:rsidR="00F111A8" w:rsidRDefault="00F111A8">
      <w:pPr>
        <w:spacing w:line="241" w:lineRule="exact"/>
        <w:jc w:val="center"/>
        <w:sectPr w:rsidR="00F111A8">
          <w:type w:val="continuous"/>
          <w:pgSz w:w="19200" w:h="10800" w:orient="landscape"/>
          <w:pgMar w:top="320" w:right="520" w:bottom="0" w:left="260" w:header="708" w:footer="708" w:gutter="0"/>
          <w:cols w:num="2" w:space="708" w:equalWidth="0">
            <w:col w:w="2117" w:space="40"/>
            <w:col w:w="16263"/>
          </w:cols>
        </w:sectPr>
      </w:pPr>
    </w:p>
    <w:p w14:paraId="7BFE5D24" w14:textId="77777777" w:rsidR="00F111A8" w:rsidRDefault="00F111A8">
      <w:pPr>
        <w:pStyle w:val="Tekstpodstawowy"/>
        <w:spacing w:before="3"/>
        <w:rPr>
          <w:sz w:val="10"/>
        </w:rPr>
      </w:pPr>
    </w:p>
    <w:p w14:paraId="6848230A" w14:textId="77777777" w:rsidR="00F111A8" w:rsidRDefault="00E33EA4">
      <w:pPr>
        <w:pStyle w:val="Akapitzlist"/>
        <w:numPr>
          <w:ilvl w:val="0"/>
          <w:numId w:val="1"/>
        </w:numPr>
        <w:tabs>
          <w:tab w:val="left" w:pos="640"/>
          <w:tab w:val="left" w:pos="641"/>
        </w:tabs>
        <w:spacing w:before="90"/>
        <w:rPr>
          <w:sz w:val="24"/>
        </w:rPr>
      </w:pPr>
      <w:r>
        <w:rPr>
          <w:sz w:val="24"/>
        </w:rPr>
        <w:t>Złożenie wniosku nie jest równoznaczne z przyznaniem</w:t>
      </w:r>
      <w:r>
        <w:rPr>
          <w:spacing w:val="26"/>
          <w:sz w:val="24"/>
        </w:rPr>
        <w:t xml:space="preserve"> </w:t>
      </w:r>
      <w:r>
        <w:rPr>
          <w:sz w:val="24"/>
        </w:rPr>
        <w:t>dotacji</w:t>
      </w:r>
      <w:r w:rsidR="00CB3589">
        <w:rPr>
          <w:sz w:val="24"/>
        </w:rPr>
        <w:t>, decyduje kolejność zgłoszeń</w:t>
      </w:r>
      <w:r>
        <w:rPr>
          <w:sz w:val="24"/>
        </w:rPr>
        <w:t>.</w:t>
      </w:r>
      <w:r w:rsidR="002C1DE6" w:rsidRPr="002C1DE6">
        <w:t xml:space="preserve"> </w:t>
      </w:r>
    </w:p>
    <w:p w14:paraId="5324DFAD" w14:textId="77777777" w:rsidR="00F111A8" w:rsidRDefault="00E33EA4">
      <w:pPr>
        <w:pStyle w:val="Akapitzlist"/>
        <w:numPr>
          <w:ilvl w:val="0"/>
          <w:numId w:val="1"/>
        </w:numPr>
        <w:tabs>
          <w:tab w:val="left" w:pos="640"/>
          <w:tab w:val="left" w:pos="641"/>
        </w:tabs>
        <w:spacing w:before="34"/>
        <w:rPr>
          <w:sz w:val="24"/>
        </w:rPr>
      </w:pPr>
      <w:r>
        <w:rPr>
          <w:sz w:val="24"/>
        </w:rPr>
        <w:t>Dotacją nie będą objęte przedsięwzięcia, które zostały wykonane przed podpisaniem umowy</w:t>
      </w:r>
      <w:r>
        <w:rPr>
          <w:spacing w:val="37"/>
          <w:sz w:val="24"/>
        </w:rPr>
        <w:t xml:space="preserve"> </w:t>
      </w:r>
      <w:r>
        <w:rPr>
          <w:sz w:val="24"/>
        </w:rPr>
        <w:t>dotacyjnej.</w:t>
      </w:r>
    </w:p>
    <w:p w14:paraId="48A5CE7B" w14:textId="77777777" w:rsidR="00F111A8" w:rsidRDefault="00E33EA4">
      <w:pPr>
        <w:pStyle w:val="Akapitzlist"/>
        <w:numPr>
          <w:ilvl w:val="0"/>
          <w:numId w:val="1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Beneficjent końcowy musi zlikwidować wszystkie dotychczasowe źródeł ciepła w nieruchomości objętej</w:t>
      </w:r>
      <w:r>
        <w:rPr>
          <w:spacing w:val="46"/>
          <w:sz w:val="24"/>
        </w:rPr>
        <w:t xml:space="preserve"> </w:t>
      </w:r>
      <w:r>
        <w:rPr>
          <w:sz w:val="24"/>
        </w:rPr>
        <w:t>dofinansowaniem.</w:t>
      </w:r>
    </w:p>
    <w:p w14:paraId="1BEF2E56" w14:textId="77777777" w:rsidR="00F111A8" w:rsidRDefault="00E33EA4">
      <w:pPr>
        <w:pStyle w:val="Akapitzlist"/>
        <w:numPr>
          <w:ilvl w:val="0"/>
          <w:numId w:val="1"/>
        </w:numPr>
        <w:tabs>
          <w:tab w:val="left" w:pos="640"/>
          <w:tab w:val="left" w:pos="641"/>
        </w:tabs>
        <w:spacing w:before="34"/>
        <w:rPr>
          <w:sz w:val="24"/>
        </w:rPr>
      </w:pPr>
      <w:r>
        <w:rPr>
          <w:sz w:val="24"/>
        </w:rPr>
        <w:t>Dotacja nie jest udzielana w przypadku nieruchomości wykorzystywanych sezonowo, np. domów letniskowych oraz budynków w</w:t>
      </w:r>
      <w:r>
        <w:rPr>
          <w:spacing w:val="41"/>
          <w:sz w:val="24"/>
        </w:rPr>
        <w:t xml:space="preserve"> </w:t>
      </w:r>
      <w:r>
        <w:rPr>
          <w:sz w:val="24"/>
        </w:rPr>
        <w:t>budowie.</w:t>
      </w:r>
    </w:p>
    <w:p w14:paraId="41D15110" w14:textId="77777777" w:rsidR="00C324F4" w:rsidRPr="00C324F4" w:rsidRDefault="00E33EA4" w:rsidP="00C324F4">
      <w:pPr>
        <w:pStyle w:val="Akapitzlist"/>
        <w:numPr>
          <w:ilvl w:val="0"/>
          <w:numId w:val="1"/>
        </w:numPr>
        <w:tabs>
          <w:tab w:val="left" w:pos="640"/>
          <w:tab w:val="left" w:pos="641"/>
        </w:tabs>
        <w:spacing w:line="268" w:lineRule="auto"/>
        <w:ind w:right="3720"/>
        <w:rPr>
          <w:sz w:val="24"/>
        </w:rPr>
      </w:pPr>
      <w:r>
        <w:rPr>
          <w:sz w:val="24"/>
        </w:rPr>
        <w:t>Na etapie składania wniosku o dofinansowanie inwestycje powinny być przygotowane do realizacji pod względem formalnym, tj. posiadać wszystkie wymagane prawem pozwolenia i</w:t>
      </w:r>
      <w:r>
        <w:rPr>
          <w:spacing w:val="25"/>
          <w:sz w:val="24"/>
        </w:rPr>
        <w:t xml:space="preserve"> </w:t>
      </w:r>
      <w:r>
        <w:rPr>
          <w:sz w:val="24"/>
        </w:rPr>
        <w:t>zgłoszenia.</w:t>
      </w:r>
    </w:p>
    <w:sectPr w:rsidR="00C324F4" w:rsidRPr="00C324F4" w:rsidSect="00F111A8">
      <w:type w:val="continuous"/>
      <w:pgSz w:w="19200" w:h="10800" w:orient="landscape"/>
      <w:pgMar w:top="320" w:right="52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E4"/>
    <w:multiLevelType w:val="hybridMultilevel"/>
    <w:tmpl w:val="24FE726E"/>
    <w:lvl w:ilvl="0" w:tplc="4168A6E0">
      <w:start w:val="1"/>
      <w:numFmt w:val="lowerLetter"/>
      <w:lvlText w:val="%1)"/>
      <w:lvlJc w:val="left"/>
      <w:pPr>
        <w:ind w:left="3699" w:hanging="300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-22"/>
        <w:w w:val="99"/>
        <w:sz w:val="24"/>
        <w:szCs w:val="24"/>
        <w:lang w:val="pl-PL" w:eastAsia="pl-PL" w:bidi="pl-PL"/>
      </w:rPr>
    </w:lvl>
    <w:lvl w:ilvl="1" w:tplc="85860A98">
      <w:numFmt w:val="bullet"/>
      <w:lvlText w:val="•"/>
      <w:lvlJc w:val="left"/>
      <w:pPr>
        <w:ind w:left="4956" w:hanging="300"/>
      </w:pPr>
      <w:rPr>
        <w:rFonts w:hint="default"/>
        <w:lang w:val="pl-PL" w:eastAsia="pl-PL" w:bidi="pl-PL"/>
      </w:rPr>
    </w:lvl>
    <w:lvl w:ilvl="2" w:tplc="AA76DE2C">
      <w:numFmt w:val="bullet"/>
      <w:lvlText w:val="•"/>
      <w:lvlJc w:val="left"/>
      <w:pPr>
        <w:ind w:left="6212" w:hanging="300"/>
      </w:pPr>
      <w:rPr>
        <w:rFonts w:hint="default"/>
        <w:lang w:val="pl-PL" w:eastAsia="pl-PL" w:bidi="pl-PL"/>
      </w:rPr>
    </w:lvl>
    <w:lvl w:ilvl="3" w:tplc="C89814DA">
      <w:numFmt w:val="bullet"/>
      <w:lvlText w:val="•"/>
      <w:lvlJc w:val="left"/>
      <w:pPr>
        <w:ind w:left="7469" w:hanging="300"/>
      </w:pPr>
      <w:rPr>
        <w:rFonts w:hint="default"/>
        <w:lang w:val="pl-PL" w:eastAsia="pl-PL" w:bidi="pl-PL"/>
      </w:rPr>
    </w:lvl>
    <w:lvl w:ilvl="4" w:tplc="5FD04396">
      <w:numFmt w:val="bullet"/>
      <w:lvlText w:val="•"/>
      <w:lvlJc w:val="left"/>
      <w:pPr>
        <w:ind w:left="8725" w:hanging="300"/>
      </w:pPr>
      <w:rPr>
        <w:rFonts w:hint="default"/>
        <w:lang w:val="pl-PL" w:eastAsia="pl-PL" w:bidi="pl-PL"/>
      </w:rPr>
    </w:lvl>
    <w:lvl w:ilvl="5" w:tplc="39469A8E">
      <w:numFmt w:val="bullet"/>
      <w:lvlText w:val="•"/>
      <w:lvlJc w:val="left"/>
      <w:pPr>
        <w:ind w:left="9981" w:hanging="300"/>
      </w:pPr>
      <w:rPr>
        <w:rFonts w:hint="default"/>
        <w:lang w:val="pl-PL" w:eastAsia="pl-PL" w:bidi="pl-PL"/>
      </w:rPr>
    </w:lvl>
    <w:lvl w:ilvl="6" w:tplc="E3640668">
      <w:numFmt w:val="bullet"/>
      <w:lvlText w:val="•"/>
      <w:lvlJc w:val="left"/>
      <w:pPr>
        <w:ind w:left="11238" w:hanging="300"/>
      </w:pPr>
      <w:rPr>
        <w:rFonts w:hint="default"/>
        <w:lang w:val="pl-PL" w:eastAsia="pl-PL" w:bidi="pl-PL"/>
      </w:rPr>
    </w:lvl>
    <w:lvl w:ilvl="7" w:tplc="3F5C0758">
      <w:numFmt w:val="bullet"/>
      <w:lvlText w:val="•"/>
      <w:lvlJc w:val="left"/>
      <w:pPr>
        <w:ind w:left="12494" w:hanging="300"/>
      </w:pPr>
      <w:rPr>
        <w:rFonts w:hint="default"/>
        <w:lang w:val="pl-PL" w:eastAsia="pl-PL" w:bidi="pl-PL"/>
      </w:rPr>
    </w:lvl>
    <w:lvl w:ilvl="8" w:tplc="180E473A">
      <w:numFmt w:val="bullet"/>
      <w:lvlText w:val="•"/>
      <w:lvlJc w:val="left"/>
      <w:pPr>
        <w:ind w:left="13751" w:hanging="300"/>
      </w:pPr>
      <w:rPr>
        <w:rFonts w:hint="default"/>
        <w:lang w:val="pl-PL" w:eastAsia="pl-PL" w:bidi="pl-PL"/>
      </w:rPr>
    </w:lvl>
  </w:abstractNum>
  <w:abstractNum w:abstractNumId="1" w15:restartNumberingAfterBreak="0">
    <w:nsid w:val="4A777811"/>
    <w:multiLevelType w:val="hybridMultilevel"/>
    <w:tmpl w:val="34BA2F2A"/>
    <w:lvl w:ilvl="0" w:tplc="B9F20580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15AE632">
      <w:numFmt w:val="bullet"/>
      <w:lvlText w:val="•"/>
      <w:lvlJc w:val="left"/>
      <w:pPr>
        <w:ind w:left="2418" w:hanging="540"/>
      </w:pPr>
      <w:rPr>
        <w:rFonts w:hint="default"/>
        <w:lang w:val="pl-PL" w:eastAsia="pl-PL" w:bidi="pl-PL"/>
      </w:rPr>
    </w:lvl>
    <w:lvl w:ilvl="2" w:tplc="8C0C5386">
      <w:numFmt w:val="bullet"/>
      <w:lvlText w:val="•"/>
      <w:lvlJc w:val="left"/>
      <w:pPr>
        <w:ind w:left="4196" w:hanging="540"/>
      </w:pPr>
      <w:rPr>
        <w:rFonts w:hint="default"/>
        <w:lang w:val="pl-PL" w:eastAsia="pl-PL" w:bidi="pl-PL"/>
      </w:rPr>
    </w:lvl>
    <w:lvl w:ilvl="3" w:tplc="A5F09B00">
      <w:numFmt w:val="bullet"/>
      <w:lvlText w:val="•"/>
      <w:lvlJc w:val="left"/>
      <w:pPr>
        <w:ind w:left="5974" w:hanging="540"/>
      </w:pPr>
      <w:rPr>
        <w:rFonts w:hint="default"/>
        <w:lang w:val="pl-PL" w:eastAsia="pl-PL" w:bidi="pl-PL"/>
      </w:rPr>
    </w:lvl>
    <w:lvl w:ilvl="4" w:tplc="E034E740">
      <w:numFmt w:val="bullet"/>
      <w:lvlText w:val="•"/>
      <w:lvlJc w:val="left"/>
      <w:pPr>
        <w:ind w:left="7752" w:hanging="540"/>
      </w:pPr>
      <w:rPr>
        <w:rFonts w:hint="default"/>
        <w:lang w:val="pl-PL" w:eastAsia="pl-PL" w:bidi="pl-PL"/>
      </w:rPr>
    </w:lvl>
    <w:lvl w:ilvl="5" w:tplc="35E0336E">
      <w:numFmt w:val="bullet"/>
      <w:lvlText w:val="•"/>
      <w:lvlJc w:val="left"/>
      <w:pPr>
        <w:ind w:left="9530" w:hanging="540"/>
      </w:pPr>
      <w:rPr>
        <w:rFonts w:hint="default"/>
        <w:lang w:val="pl-PL" w:eastAsia="pl-PL" w:bidi="pl-PL"/>
      </w:rPr>
    </w:lvl>
    <w:lvl w:ilvl="6" w:tplc="6590CEFE">
      <w:numFmt w:val="bullet"/>
      <w:lvlText w:val="•"/>
      <w:lvlJc w:val="left"/>
      <w:pPr>
        <w:ind w:left="11308" w:hanging="540"/>
      </w:pPr>
      <w:rPr>
        <w:rFonts w:hint="default"/>
        <w:lang w:val="pl-PL" w:eastAsia="pl-PL" w:bidi="pl-PL"/>
      </w:rPr>
    </w:lvl>
    <w:lvl w:ilvl="7" w:tplc="6FDE0A1A">
      <w:numFmt w:val="bullet"/>
      <w:lvlText w:val="•"/>
      <w:lvlJc w:val="left"/>
      <w:pPr>
        <w:ind w:left="13086" w:hanging="540"/>
      </w:pPr>
      <w:rPr>
        <w:rFonts w:hint="default"/>
        <w:lang w:val="pl-PL" w:eastAsia="pl-PL" w:bidi="pl-PL"/>
      </w:rPr>
    </w:lvl>
    <w:lvl w:ilvl="8" w:tplc="03FE6DD0">
      <w:numFmt w:val="bullet"/>
      <w:lvlText w:val="•"/>
      <w:lvlJc w:val="left"/>
      <w:pPr>
        <w:ind w:left="14864" w:hanging="54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1A8"/>
    <w:rsid w:val="00113BD8"/>
    <w:rsid w:val="002C1DE6"/>
    <w:rsid w:val="00552CD9"/>
    <w:rsid w:val="007479A4"/>
    <w:rsid w:val="00862050"/>
    <w:rsid w:val="00883CA9"/>
    <w:rsid w:val="00913904"/>
    <w:rsid w:val="00962C38"/>
    <w:rsid w:val="00C324F4"/>
    <w:rsid w:val="00C53C1C"/>
    <w:rsid w:val="00CB3589"/>
    <w:rsid w:val="00D85F3A"/>
    <w:rsid w:val="00E33EA4"/>
    <w:rsid w:val="00E40108"/>
    <w:rsid w:val="00E574BB"/>
    <w:rsid w:val="00F111A8"/>
    <w:rsid w:val="00F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451"/>
  <w15:docId w15:val="{1C10C59A-521B-4CBE-A365-855B651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111A8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11A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111A8"/>
    <w:pPr>
      <w:spacing w:before="101"/>
      <w:ind w:left="2182" w:right="1924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111A8"/>
    <w:pPr>
      <w:spacing w:before="31"/>
      <w:ind w:left="640" w:hanging="540"/>
    </w:pPr>
  </w:style>
  <w:style w:type="paragraph" w:customStyle="1" w:styleId="TableParagraph">
    <w:name w:val="Table Paragraph"/>
    <w:basedOn w:val="Normalny"/>
    <w:uiPriority w:val="1"/>
    <w:qFormat/>
    <w:rsid w:val="00F111A8"/>
  </w:style>
  <w:style w:type="paragraph" w:styleId="Tekstdymka">
    <w:name w:val="Balloon Text"/>
    <w:basedOn w:val="Normalny"/>
    <w:link w:val="TekstdymkaZnak"/>
    <w:uiPriority w:val="99"/>
    <w:semiHidden/>
    <w:unhideWhenUsed/>
    <w:rsid w:val="002C1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E6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Źródła ciepła w Gminie Milicz.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Źródła ciepła w Gminie Milicz.</dc:title>
  <dc:creator>Ania</dc:creator>
  <cp:lastModifiedBy>Martyna Lombarska</cp:lastModifiedBy>
  <cp:revision>11</cp:revision>
  <dcterms:created xsi:type="dcterms:W3CDTF">2019-06-10T12:41:00Z</dcterms:created>
  <dcterms:modified xsi:type="dcterms:W3CDTF">2022-04-01T09:05:00Z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2019-06-10T00:00:00Z</vt:filetime>
  </property>
</Properties>
</file>